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16713" w14:textId="77777777" w:rsidR="00741409" w:rsidRDefault="00741409">
      <w:pPr>
        <w:widowControl w:val="0"/>
        <w:autoSpaceDE w:val="0"/>
        <w:autoSpaceDN w:val="0"/>
        <w:spacing w:after="0" w:line="240" w:lineRule="auto"/>
        <w:rPr>
          <w:rFonts w:ascii="Minion pro" w:eastAsia="PMingLiU" w:hAnsi="Minion pro" w:cs="PMingLiU"/>
          <w:bCs/>
          <w:color w:val="000000"/>
          <w:sz w:val="20"/>
          <w:szCs w:val="20"/>
        </w:rPr>
      </w:pPr>
    </w:p>
    <w:p w14:paraId="083C3E44" w14:textId="77777777" w:rsidR="00741409" w:rsidRDefault="00000000">
      <w:pPr>
        <w:widowControl w:val="0"/>
        <w:autoSpaceDE w:val="0"/>
        <w:autoSpaceDN w:val="0"/>
        <w:spacing w:after="0" w:line="240" w:lineRule="auto"/>
        <w:rPr>
          <w:rFonts w:ascii="Minion pro" w:eastAsia="PMingLiU" w:hAnsi="Minion pro" w:cs="PMingLiU"/>
          <w:bCs/>
          <w:color w:val="000000"/>
        </w:rPr>
      </w:pPr>
      <w:r>
        <w:rPr>
          <w:rFonts w:ascii="Minion pro" w:eastAsia="PMingLiU" w:hAnsi="Minion pro" w:cs="PMingLiU"/>
          <w:b/>
          <w:bCs/>
          <w:color w:val="000000"/>
          <w:sz w:val="20"/>
          <w:szCs w:val="20"/>
        </w:rPr>
        <w:t>SUPPLEMENTARY TABLE 3.</w:t>
      </w:r>
      <w:r>
        <w:rPr>
          <w:rFonts w:ascii="Minion pro" w:eastAsia="PMingLiU" w:hAnsi="Minion pro" w:cs="PMingLiU"/>
          <w:bCs/>
          <w:color w:val="000000"/>
          <w:sz w:val="20"/>
          <w:szCs w:val="20"/>
        </w:rPr>
        <w:t xml:space="preserve"> Mechanism of anticancer activity of some known and potential AKR inhibitors</w:t>
      </w:r>
    </w:p>
    <w:tbl>
      <w:tblPr>
        <w:tblStyle w:val="a7"/>
        <w:tblpPr w:leftFromText="180" w:rightFromText="180" w:vertAnchor="text" w:horzAnchor="margin" w:tblpX="704" w:tblpY="60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9"/>
        <w:gridCol w:w="1211"/>
        <w:gridCol w:w="9651"/>
        <w:gridCol w:w="1385"/>
      </w:tblGrid>
      <w:tr w:rsidR="00741409" w14:paraId="555C735F" w14:textId="77777777"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0A2D5B92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  <w:t>Inhibitor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91EB19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  <w:t>Isoform selectivity</w:t>
            </w:r>
          </w:p>
        </w:tc>
        <w:tc>
          <w:tcPr>
            <w:tcW w:w="9651" w:type="dxa"/>
            <w:tcBorders>
              <w:top w:val="single" w:sz="4" w:space="0" w:color="auto"/>
              <w:bottom w:val="single" w:sz="4" w:space="0" w:color="auto"/>
            </w:tcBorders>
          </w:tcPr>
          <w:p w14:paraId="7990384F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  <w:t>Mechanism of anticancer activity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CCD26F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/>
                <w:bCs/>
                <w:color w:val="000000"/>
                <w:sz w:val="20"/>
                <w:szCs w:val="20"/>
                <w:lang w:val="en-US" w:eastAsia="en-IN"/>
              </w:rPr>
              <w:t>Reference(s)</w:t>
            </w:r>
          </w:p>
        </w:tc>
      </w:tr>
      <w:tr w:rsidR="00741409" w14:paraId="448B53B5" w14:textId="77777777">
        <w:tc>
          <w:tcPr>
            <w:tcW w:w="1619" w:type="dxa"/>
            <w:vMerge w:val="restart"/>
            <w:tcBorders>
              <w:top w:val="single" w:sz="4" w:space="0" w:color="auto"/>
            </w:tcBorders>
          </w:tcPr>
          <w:p w14:paraId="56C2F2B4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0FE5D283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7EC9AD60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1A0D282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05C9FF6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Epalrestat</w:t>
            </w:r>
            <w:proofErr w:type="spellEnd"/>
          </w:p>
        </w:tc>
        <w:tc>
          <w:tcPr>
            <w:tcW w:w="1211" w:type="dxa"/>
            <w:vMerge w:val="restart"/>
            <w:tcBorders>
              <w:top w:val="single" w:sz="4" w:space="0" w:color="auto"/>
            </w:tcBorders>
          </w:tcPr>
          <w:p w14:paraId="31585588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24D61BF3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44FAEF13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69B295C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AKR1B1 &amp; AKR1B10</w:t>
            </w:r>
          </w:p>
        </w:tc>
        <w:tc>
          <w:tcPr>
            <w:tcW w:w="9651" w:type="dxa"/>
            <w:tcBorders>
              <w:top w:val="single" w:sz="4" w:space="0" w:color="auto"/>
            </w:tcBorders>
          </w:tcPr>
          <w:p w14:paraId="0328C006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Suppression of proliferation, migration, &amp; invasion in HeLa cervical cancer cells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4D5B59A8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[65]</w:t>
            </w:r>
          </w:p>
        </w:tc>
      </w:tr>
      <w:tr w:rsidR="00741409" w14:paraId="59C74FAC" w14:textId="77777777">
        <w:tc>
          <w:tcPr>
            <w:tcW w:w="1619" w:type="dxa"/>
            <w:vMerge/>
          </w:tcPr>
          <w:p w14:paraId="301710C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7FEBB42D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106C154A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Enhanced chemosensitivity to doxorubicin</w:t>
            </w:r>
          </w:p>
        </w:tc>
        <w:tc>
          <w:tcPr>
            <w:tcW w:w="1385" w:type="dxa"/>
          </w:tcPr>
          <w:p w14:paraId="1D7983F0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[145]</w:t>
            </w:r>
          </w:p>
        </w:tc>
      </w:tr>
      <w:tr w:rsidR="00741409" w14:paraId="7D4B76E3" w14:textId="77777777">
        <w:tc>
          <w:tcPr>
            <w:tcW w:w="1619" w:type="dxa"/>
            <w:vMerge/>
          </w:tcPr>
          <w:p w14:paraId="4E48703F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4C06F6E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423AE9D7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EMT blockade</w:t>
            </w:r>
          </w:p>
        </w:tc>
        <w:tc>
          <w:tcPr>
            <w:tcW w:w="1385" w:type="dxa"/>
          </w:tcPr>
          <w:p w14:paraId="6929A27D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[145]</w:t>
            </w:r>
          </w:p>
        </w:tc>
      </w:tr>
      <w:tr w:rsidR="00741409" w14:paraId="78239BB5" w14:textId="77777777">
        <w:tc>
          <w:tcPr>
            <w:tcW w:w="1619" w:type="dxa"/>
            <w:vMerge/>
          </w:tcPr>
          <w:p w14:paraId="531CEEBB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17FF56F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39B85C88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Restoration of chemosensitivity to EGFR TKI in lung cancer cells</w:t>
            </w:r>
          </w:p>
        </w:tc>
        <w:tc>
          <w:tcPr>
            <w:tcW w:w="1385" w:type="dxa"/>
          </w:tcPr>
          <w:p w14:paraId="70C2B195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[157]</w:t>
            </w:r>
          </w:p>
        </w:tc>
      </w:tr>
      <w:tr w:rsidR="00741409" w14:paraId="4AEF72EB" w14:textId="77777777">
        <w:tc>
          <w:tcPr>
            <w:tcW w:w="1619" w:type="dxa"/>
            <w:vMerge/>
          </w:tcPr>
          <w:p w14:paraId="09197541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30B3F3E3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02A02AED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Delayed chemoresistance in lung cancer cells and murine xenograft model</w:t>
            </w:r>
          </w:p>
        </w:tc>
        <w:tc>
          <w:tcPr>
            <w:tcW w:w="1385" w:type="dxa"/>
          </w:tcPr>
          <w:p w14:paraId="559B894F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[157]</w:t>
            </w:r>
          </w:p>
        </w:tc>
      </w:tr>
      <w:tr w:rsidR="00741409" w14:paraId="12103E52" w14:textId="77777777">
        <w:tc>
          <w:tcPr>
            <w:tcW w:w="1619" w:type="dxa"/>
            <w:vMerge/>
          </w:tcPr>
          <w:p w14:paraId="5F187C55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4966B65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046E5CA3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Prevention of metastasis by EMT blockade in basal-like breast cancer cells</w:t>
            </w:r>
          </w:p>
        </w:tc>
        <w:tc>
          <w:tcPr>
            <w:tcW w:w="1385" w:type="dxa"/>
          </w:tcPr>
          <w:p w14:paraId="18E486B3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[158]</w:t>
            </w:r>
          </w:p>
        </w:tc>
      </w:tr>
      <w:tr w:rsidR="00741409" w14:paraId="79ED892C" w14:textId="77777777">
        <w:tc>
          <w:tcPr>
            <w:tcW w:w="1619" w:type="dxa"/>
            <w:vMerge/>
          </w:tcPr>
          <w:p w14:paraId="1433999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1A9832D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9651" w:type="dxa"/>
          </w:tcPr>
          <w:p w14:paraId="5BE314AE" w14:textId="77777777" w:rsidR="00741409" w:rsidRDefault="0000000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Cell cycle arrest, apoptosis induction, CD44 receptor downregulation in mammary carcinoma cells</w:t>
            </w:r>
          </w:p>
        </w:tc>
        <w:tc>
          <w:tcPr>
            <w:tcW w:w="1385" w:type="dxa"/>
          </w:tcPr>
          <w:p w14:paraId="319D485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[159]</w:t>
            </w:r>
          </w:p>
        </w:tc>
      </w:tr>
      <w:tr w:rsidR="00741409" w14:paraId="6AF222AC" w14:textId="77777777">
        <w:tc>
          <w:tcPr>
            <w:tcW w:w="1619" w:type="dxa"/>
            <w:vMerge w:val="restart"/>
          </w:tcPr>
          <w:p w14:paraId="28B44D14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27FDC7EB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4DEB3911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53F931F1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19FDD28E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3983498F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7CA9C0B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175367E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Fidarestat</w:t>
            </w:r>
            <w:proofErr w:type="spellEnd"/>
          </w:p>
        </w:tc>
        <w:tc>
          <w:tcPr>
            <w:tcW w:w="1211" w:type="dxa"/>
            <w:vMerge w:val="restart"/>
          </w:tcPr>
          <w:p w14:paraId="75C4E12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1CFE7AC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69B8BD18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6F3B204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4A52267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4C9AD25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6A841A0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68E7C194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AKR1B1 &amp; AKR1B10</w:t>
            </w:r>
          </w:p>
        </w:tc>
        <w:tc>
          <w:tcPr>
            <w:tcW w:w="9651" w:type="dxa"/>
          </w:tcPr>
          <w:p w14:paraId="1DFA43B4" w14:textId="0996245F" w:rsidR="00741409" w:rsidRDefault="000000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Enhanced expression of NRF2, HO-1, NQO1, SOD, catalase, PGC-1</w:t>
            </w:r>
            <w:r w:rsidR="00C43ADB">
              <w:t xml:space="preserve"> </w:t>
            </w:r>
            <w:r w:rsidR="00C43ADB" w:rsidRPr="00C43ADB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alpha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, TFAM, COX-IV</w:t>
            </w:r>
          </w:p>
          <w:p w14:paraId="25040A50" w14:textId="77777777" w:rsidR="00741409" w:rsidRDefault="000000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Attenuated DNA damage</w:t>
            </w:r>
          </w:p>
          <w:p w14:paraId="270C6233" w14:textId="77777777" w:rsidR="00741409" w:rsidRDefault="000000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Modulated phosphorylation of AMPK &amp; mTOR in CRC cells</w:t>
            </w:r>
          </w:p>
          <w:p w14:paraId="21200EC7" w14:textId="77777777" w:rsidR="00741409" w:rsidRDefault="000000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Modulated Nrf2/HO-1/AMPK pathway in nude mice xenograft model</w:t>
            </w:r>
          </w:p>
        </w:tc>
        <w:tc>
          <w:tcPr>
            <w:tcW w:w="1385" w:type="dxa"/>
          </w:tcPr>
          <w:p w14:paraId="65E3B05F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[160]</w:t>
            </w:r>
          </w:p>
        </w:tc>
      </w:tr>
      <w:tr w:rsidR="00741409" w14:paraId="3BE5E4BA" w14:textId="77777777">
        <w:tc>
          <w:tcPr>
            <w:tcW w:w="1619" w:type="dxa"/>
            <w:vMerge/>
          </w:tcPr>
          <w:p w14:paraId="66290B7B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4FAA5635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54BA1801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Downregulated PKC-β2, AKT, COX-2 and 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iNOS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 in colon cancer cells</w:t>
            </w:r>
          </w:p>
          <w:p w14:paraId="0237B5A9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Decreased serum IL-1α, IP-10, MIG, TNF-α and VEGF in AOM induced C57BL/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KsJ-db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/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db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 obese mice</w:t>
            </w:r>
          </w:p>
          <w:p w14:paraId="2E40B8F6" w14:textId="46B46A1D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Downregulated COX-2, 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iNOS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, XIAP, 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survivin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, β-catenin and NF-</w:t>
            </w:r>
            <w:r w:rsidR="003A328C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k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B in HT29 colon cancer cells</w:t>
            </w:r>
          </w:p>
        </w:tc>
        <w:tc>
          <w:tcPr>
            <w:tcW w:w="1385" w:type="dxa"/>
          </w:tcPr>
          <w:p w14:paraId="0404816D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[161]</w:t>
            </w:r>
          </w:p>
        </w:tc>
      </w:tr>
      <w:tr w:rsidR="00741409" w14:paraId="31279E2C" w14:textId="77777777">
        <w:tc>
          <w:tcPr>
            <w:tcW w:w="1619" w:type="dxa"/>
            <w:vMerge/>
          </w:tcPr>
          <w:p w14:paraId="7D847AE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5E6BC6C2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67B4EE65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Potentiated TRAIL-induced apoptosis by regulating the AKT/PI3K-dependent activation of FOXO3a</w:t>
            </w:r>
          </w:p>
        </w:tc>
        <w:tc>
          <w:tcPr>
            <w:tcW w:w="1385" w:type="dxa"/>
          </w:tcPr>
          <w:p w14:paraId="232A847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[125]</w:t>
            </w:r>
          </w:p>
        </w:tc>
      </w:tr>
      <w:tr w:rsidR="00741409" w14:paraId="610E1C84" w14:textId="77777777">
        <w:tc>
          <w:tcPr>
            <w:tcW w:w="1619" w:type="dxa"/>
            <w:vMerge/>
          </w:tcPr>
          <w:p w14:paraId="57EBBD8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09D298B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6F3998EB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Induced autophagy in HT-29 and SW-480 CRC cells</w:t>
            </w:r>
          </w:p>
        </w:tc>
        <w:tc>
          <w:tcPr>
            <w:tcW w:w="1385" w:type="dxa"/>
          </w:tcPr>
          <w:p w14:paraId="0FAC538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[162]</w:t>
            </w:r>
          </w:p>
        </w:tc>
      </w:tr>
      <w:tr w:rsidR="00741409" w14:paraId="500C50A1" w14:textId="77777777">
        <w:tc>
          <w:tcPr>
            <w:tcW w:w="1619" w:type="dxa"/>
            <w:vMerge/>
          </w:tcPr>
          <w:p w14:paraId="7568DB0D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52A87F8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253136FC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Prevented angiogenesis by AKT inactivation</w:t>
            </w:r>
          </w:p>
        </w:tc>
        <w:tc>
          <w:tcPr>
            <w:tcW w:w="1385" w:type="dxa"/>
          </w:tcPr>
          <w:p w14:paraId="6C172C53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[122]</w:t>
            </w:r>
          </w:p>
        </w:tc>
      </w:tr>
      <w:tr w:rsidR="00741409" w14:paraId="3C1D3D3D" w14:textId="77777777">
        <w:tc>
          <w:tcPr>
            <w:tcW w:w="1619" w:type="dxa"/>
            <w:vMerge/>
          </w:tcPr>
          <w:p w14:paraId="037E20A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18B7A3A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580DF03E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Inhibited colon cancer metastasis to the liver by blockade of invasion, migration, adhesion, and angiogenesis in mouse model</w:t>
            </w:r>
            <w:r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1385" w:type="dxa"/>
          </w:tcPr>
          <w:p w14:paraId="29C66BA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[130]</w:t>
            </w:r>
          </w:p>
        </w:tc>
      </w:tr>
      <w:tr w:rsidR="00741409" w14:paraId="0375D2B5" w14:textId="77777777">
        <w:tc>
          <w:tcPr>
            <w:tcW w:w="1619" w:type="dxa"/>
            <w:vMerge w:val="restart"/>
          </w:tcPr>
          <w:p w14:paraId="48C316E4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7F51F879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06B63D63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185DA328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  <w:p w14:paraId="5B49051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Sorbinil</w:t>
            </w:r>
            <w:proofErr w:type="spellEnd"/>
          </w:p>
        </w:tc>
        <w:tc>
          <w:tcPr>
            <w:tcW w:w="1211" w:type="dxa"/>
            <w:vMerge w:val="restart"/>
          </w:tcPr>
          <w:p w14:paraId="1B55B2E7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41BD1671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Blocked E2F1 binding activity, 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pRb</w:t>
            </w:r>
            <w:proofErr w:type="spellEnd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 phosphorylation, expression of cyclins and CDKs, ROS generation, and activation of PI3K/AKT pathway in colon cancer cells</w:t>
            </w:r>
          </w:p>
        </w:tc>
        <w:tc>
          <w:tcPr>
            <w:tcW w:w="1385" w:type="dxa"/>
          </w:tcPr>
          <w:p w14:paraId="0E12D4A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[121]</w:t>
            </w:r>
          </w:p>
        </w:tc>
      </w:tr>
      <w:tr w:rsidR="00741409" w14:paraId="63B3649D" w14:textId="77777777">
        <w:tc>
          <w:tcPr>
            <w:tcW w:w="1619" w:type="dxa"/>
            <w:vMerge/>
          </w:tcPr>
          <w:p w14:paraId="5A2125C5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44B2E35D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1DC936BC" w14:textId="77777777" w:rsidR="00741409" w:rsidRPr="003044E1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Reduced AOM-induced ACF </w:t>
            </w:r>
          </w:p>
          <w:p w14:paraId="4B459CDE" w14:textId="0C7E9FBF" w:rsidR="00741409" w:rsidRPr="003044E1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Downregulated NOS, COX-2, cyclin D1 and </w:t>
            </w:r>
            <w:bookmarkStart w:id="0" w:name="OLE_LINK1"/>
            <w:r w:rsidR="006211DF" w:rsidRPr="006211DF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β</w:t>
            </w:r>
            <w:bookmarkEnd w:id="0"/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-catenin</w:t>
            </w:r>
          </w:p>
          <w:p w14:paraId="489FD0EE" w14:textId="79647C58" w:rsidR="00741409" w:rsidRPr="003044E1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Reduced phosphorylation of PKC</w:t>
            </w:r>
            <w:r w:rsidR="002E193B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-</w:t>
            </w:r>
            <w:r w:rsidR="002E193B" w:rsidRPr="006211DF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β</w:t>
            </w: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2 and NF-</w:t>
            </w:r>
            <w:r w:rsidR="000155FF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k</w:t>
            </w: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B binding protein in BALB/c mice and AR-null mice</w:t>
            </w:r>
          </w:p>
        </w:tc>
        <w:tc>
          <w:tcPr>
            <w:tcW w:w="1385" w:type="dxa"/>
          </w:tcPr>
          <w:p w14:paraId="361F23F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[120]</w:t>
            </w:r>
          </w:p>
        </w:tc>
      </w:tr>
      <w:tr w:rsidR="00741409" w14:paraId="285917DB" w14:textId="77777777">
        <w:tc>
          <w:tcPr>
            <w:tcW w:w="1619" w:type="dxa"/>
            <w:vMerge/>
          </w:tcPr>
          <w:p w14:paraId="7427C97A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3569437C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224EB0C2" w14:textId="77777777" w:rsidR="00741409" w:rsidRPr="003044E1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Prevented GF-induced proliferation</w:t>
            </w:r>
          </w:p>
          <w:p w14:paraId="3FDFCB9B" w14:textId="56A47E49" w:rsidR="00741409" w:rsidRPr="003044E1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Inhibited COX-2, PGE(2), NF-</w:t>
            </w:r>
            <w:r w:rsidR="000155FF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k</w:t>
            </w: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B activation,</w:t>
            </w:r>
            <w:r w:rsidRPr="003044E1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PKC-</w:t>
            </w:r>
            <w:r w:rsidR="002E193B" w:rsidRPr="006211DF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β</w:t>
            </w:r>
            <w:r w:rsidRPr="003044E1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2 phosphorylation</w:t>
            </w:r>
          </w:p>
        </w:tc>
        <w:tc>
          <w:tcPr>
            <w:tcW w:w="1385" w:type="dxa"/>
          </w:tcPr>
          <w:p w14:paraId="0792DDF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[163]</w:t>
            </w:r>
          </w:p>
        </w:tc>
      </w:tr>
      <w:tr w:rsidR="00741409" w14:paraId="6B229D32" w14:textId="77777777">
        <w:tc>
          <w:tcPr>
            <w:tcW w:w="1619" w:type="dxa"/>
            <w:vMerge w:val="restart"/>
          </w:tcPr>
          <w:p w14:paraId="7CF4F3F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Ponalrestat</w:t>
            </w:r>
            <w:proofErr w:type="spellEnd"/>
          </w:p>
        </w:tc>
        <w:tc>
          <w:tcPr>
            <w:tcW w:w="1211" w:type="dxa"/>
            <w:vMerge w:val="restart"/>
          </w:tcPr>
          <w:p w14:paraId="5C40288A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24601FDC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Suppression of IL-1 expression</w:t>
            </w:r>
          </w:p>
        </w:tc>
        <w:tc>
          <w:tcPr>
            <w:tcW w:w="1385" w:type="dxa"/>
          </w:tcPr>
          <w:p w14:paraId="16B2F9B7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[145]</w:t>
            </w:r>
          </w:p>
        </w:tc>
      </w:tr>
      <w:tr w:rsidR="00741409" w14:paraId="013A8789" w14:textId="77777777">
        <w:tc>
          <w:tcPr>
            <w:tcW w:w="1619" w:type="dxa"/>
            <w:vMerge/>
          </w:tcPr>
          <w:p w14:paraId="29F57E74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</w:p>
        </w:tc>
        <w:tc>
          <w:tcPr>
            <w:tcW w:w="1211" w:type="dxa"/>
            <w:vMerge/>
          </w:tcPr>
          <w:p w14:paraId="4A00E236" w14:textId="77777777" w:rsidR="00741409" w:rsidRDefault="00741409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9651" w:type="dxa"/>
          </w:tcPr>
          <w:p w14:paraId="1EF302B1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Inhibited proliferation of breast and lung cancer cells</w:t>
            </w:r>
          </w:p>
        </w:tc>
        <w:tc>
          <w:tcPr>
            <w:tcW w:w="1385" w:type="dxa"/>
          </w:tcPr>
          <w:p w14:paraId="6BBB084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[166]</w:t>
            </w:r>
          </w:p>
        </w:tc>
      </w:tr>
      <w:tr w:rsidR="00741409" w14:paraId="75D47A45" w14:textId="77777777">
        <w:tc>
          <w:tcPr>
            <w:tcW w:w="1619" w:type="dxa"/>
          </w:tcPr>
          <w:p w14:paraId="3D6E3529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it-IT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it-IT" w:eastAsia="en-IN"/>
              </w:rPr>
              <w:t>HPMC deriva-tives 4c &amp; 4e</w:t>
            </w:r>
          </w:p>
        </w:tc>
        <w:tc>
          <w:tcPr>
            <w:tcW w:w="1211" w:type="dxa"/>
          </w:tcPr>
          <w:p w14:paraId="47FA4E0C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AKR1B10</w:t>
            </w:r>
          </w:p>
        </w:tc>
        <w:tc>
          <w:tcPr>
            <w:tcW w:w="9651" w:type="dxa"/>
          </w:tcPr>
          <w:p w14:paraId="6890F3BB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Suppressed proliferation, migration, and metastasis in A549 lung cancer cells</w:t>
            </w:r>
          </w:p>
        </w:tc>
        <w:tc>
          <w:tcPr>
            <w:tcW w:w="1385" w:type="dxa"/>
          </w:tcPr>
          <w:p w14:paraId="1BE330D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[70]</w:t>
            </w:r>
          </w:p>
        </w:tc>
      </w:tr>
      <w:tr w:rsidR="00741409" w14:paraId="3FD0005F" w14:textId="77777777">
        <w:tc>
          <w:tcPr>
            <w:tcW w:w="1619" w:type="dxa"/>
          </w:tcPr>
          <w:p w14:paraId="736399A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IDD388 derivative with Br incorporated</w:t>
            </w:r>
          </w:p>
        </w:tc>
        <w:tc>
          <w:tcPr>
            <w:tcW w:w="1211" w:type="dxa"/>
          </w:tcPr>
          <w:p w14:paraId="4F0BA8B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AKR1B10</w:t>
            </w:r>
          </w:p>
        </w:tc>
        <w:tc>
          <w:tcPr>
            <w:tcW w:w="9651" w:type="dxa"/>
          </w:tcPr>
          <w:p w14:paraId="0D543BBE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To be investigated</w:t>
            </w:r>
          </w:p>
        </w:tc>
        <w:tc>
          <w:tcPr>
            <w:tcW w:w="1385" w:type="dxa"/>
            <w:shd w:val="clear" w:color="auto" w:fill="auto"/>
          </w:tcPr>
          <w:p w14:paraId="73849188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[173]</w:t>
            </w:r>
          </w:p>
        </w:tc>
      </w:tr>
      <w:tr w:rsidR="00741409" w14:paraId="10773ABA" w14:textId="77777777">
        <w:tc>
          <w:tcPr>
            <w:tcW w:w="1619" w:type="dxa"/>
          </w:tcPr>
          <w:p w14:paraId="29AB20F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MK-204</w:t>
            </w:r>
          </w:p>
        </w:tc>
        <w:tc>
          <w:tcPr>
            <w:tcW w:w="1211" w:type="dxa"/>
          </w:tcPr>
          <w:p w14:paraId="251D7A0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AKR1B10</w:t>
            </w:r>
          </w:p>
        </w:tc>
        <w:tc>
          <w:tcPr>
            <w:tcW w:w="9651" w:type="dxa"/>
          </w:tcPr>
          <w:p w14:paraId="76DE4802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To be investigated</w:t>
            </w:r>
          </w:p>
        </w:tc>
        <w:tc>
          <w:tcPr>
            <w:tcW w:w="1385" w:type="dxa"/>
          </w:tcPr>
          <w:p w14:paraId="487D7827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[173]</w:t>
            </w:r>
          </w:p>
        </w:tc>
      </w:tr>
      <w:tr w:rsidR="00741409" w14:paraId="06121143" w14:textId="77777777">
        <w:tc>
          <w:tcPr>
            <w:tcW w:w="1619" w:type="dxa"/>
          </w:tcPr>
          <w:p w14:paraId="49149AC8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Cyclopentenone prostaglandin 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lastRenderedPageBreak/>
              <w:t>A(1) (PGA(1))</w:t>
            </w:r>
          </w:p>
        </w:tc>
        <w:tc>
          <w:tcPr>
            <w:tcW w:w="1211" w:type="dxa"/>
          </w:tcPr>
          <w:p w14:paraId="3682C0C0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lastRenderedPageBreak/>
              <w:t>AKR1B10</w:t>
            </w:r>
          </w:p>
        </w:tc>
        <w:tc>
          <w:tcPr>
            <w:tcW w:w="9651" w:type="dxa"/>
          </w:tcPr>
          <w:p w14:paraId="51295446" w14:textId="4B950A49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 xml:space="preserve">Cell </w:t>
            </w:r>
            <w:r w:rsid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cycle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 xml:space="preserve"> arrest</w:t>
            </w:r>
          </w:p>
          <w:p w14:paraId="54039FF1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Counters chemoresistance in lung cancer cells</w:t>
            </w:r>
          </w:p>
        </w:tc>
        <w:tc>
          <w:tcPr>
            <w:tcW w:w="1385" w:type="dxa"/>
          </w:tcPr>
          <w:p w14:paraId="2A1BC2EF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[174]</w:t>
            </w:r>
          </w:p>
        </w:tc>
      </w:tr>
      <w:tr w:rsidR="00741409" w14:paraId="01B7E18E" w14:textId="77777777">
        <w:tc>
          <w:tcPr>
            <w:tcW w:w="1619" w:type="dxa"/>
          </w:tcPr>
          <w:p w14:paraId="7E2CE0EC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NSAIDs </w:t>
            </w:r>
          </w:p>
        </w:tc>
        <w:tc>
          <w:tcPr>
            <w:tcW w:w="1211" w:type="dxa"/>
          </w:tcPr>
          <w:p w14:paraId="1ABDB6AC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AKR1B10</w:t>
            </w:r>
          </w:p>
        </w:tc>
        <w:tc>
          <w:tcPr>
            <w:tcW w:w="9651" w:type="dxa"/>
          </w:tcPr>
          <w:p w14:paraId="7B159E8D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To be investigated</w:t>
            </w:r>
          </w:p>
        </w:tc>
        <w:tc>
          <w:tcPr>
            <w:tcW w:w="1385" w:type="dxa"/>
          </w:tcPr>
          <w:p w14:paraId="07707EAA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[177]</w:t>
            </w:r>
          </w:p>
        </w:tc>
      </w:tr>
      <w:tr w:rsidR="00741409" w14:paraId="0C7480C0" w14:textId="77777777">
        <w:tc>
          <w:tcPr>
            <w:tcW w:w="1619" w:type="dxa"/>
          </w:tcPr>
          <w:p w14:paraId="0654B4F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Cemtirestat</w:t>
            </w:r>
            <w:proofErr w:type="spellEnd"/>
          </w:p>
        </w:tc>
        <w:tc>
          <w:tcPr>
            <w:tcW w:w="1211" w:type="dxa"/>
          </w:tcPr>
          <w:p w14:paraId="7AB034C9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</w:t>
            </w:r>
          </w:p>
        </w:tc>
        <w:tc>
          <w:tcPr>
            <w:tcW w:w="9651" w:type="dxa"/>
          </w:tcPr>
          <w:p w14:paraId="54E602E9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To be investigated</w:t>
            </w:r>
          </w:p>
        </w:tc>
        <w:tc>
          <w:tcPr>
            <w:tcW w:w="1385" w:type="dxa"/>
          </w:tcPr>
          <w:p w14:paraId="170A97F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[178]</w:t>
            </w:r>
          </w:p>
        </w:tc>
      </w:tr>
      <w:tr w:rsidR="00741409" w14:paraId="709C36BD" w14:textId="77777777">
        <w:tc>
          <w:tcPr>
            <w:tcW w:w="1619" w:type="dxa"/>
          </w:tcPr>
          <w:p w14:paraId="6C7C0B0E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i/>
                <w:color w:val="000000"/>
                <w:sz w:val="20"/>
                <w:szCs w:val="20"/>
                <w:lang w:eastAsia="en-IN"/>
              </w:rPr>
              <w:t>Trans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-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(±)-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kusunokinin</w:t>
            </w:r>
            <w:proofErr w:type="spellEnd"/>
          </w:p>
        </w:tc>
        <w:tc>
          <w:tcPr>
            <w:tcW w:w="1211" w:type="dxa"/>
          </w:tcPr>
          <w:p w14:paraId="6DC118F6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AKR1B1</w:t>
            </w:r>
          </w:p>
        </w:tc>
        <w:tc>
          <w:tcPr>
            <w:tcW w:w="9651" w:type="dxa"/>
          </w:tcPr>
          <w:p w14:paraId="23E77F65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Prevents proliferation, migration, EMT, and invasion of breast cancer cells in breast and ovarian cancer cells</w:t>
            </w:r>
          </w:p>
        </w:tc>
        <w:tc>
          <w:tcPr>
            <w:tcW w:w="1385" w:type="dxa"/>
          </w:tcPr>
          <w:p w14:paraId="030EFA12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[179-181]</w:t>
            </w:r>
          </w:p>
        </w:tc>
      </w:tr>
      <w:tr w:rsidR="00741409" w14:paraId="13907D8D" w14:textId="77777777">
        <w:tc>
          <w:tcPr>
            <w:tcW w:w="1619" w:type="dxa"/>
          </w:tcPr>
          <w:p w14:paraId="33ECE554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Beta-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glucogallin</w:t>
            </w:r>
            <w:proofErr w:type="spellEnd"/>
          </w:p>
        </w:tc>
        <w:tc>
          <w:tcPr>
            <w:tcW w:w="1211" w:type="dxa"/>
          </w:tcPr>
          <w:p w14:paraId="22268AE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AKR1B1 </w:t>
            </w:r>
          </w:p>
        </w:tc>
        <w:tc>
          <w:tcPr>
            <w:tcW w:w="9651" w:type="dxa"/>
          </w:tcPr>
          <w:p w14:paraId="3BAA9887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Prevents proliferation &amp; migration of cholangiocarcinoma cells</w:t>
            </w:r>
          </w:p>
        </w:tc>
        <w:tc>
          <w:tcPr>
            <w:tcW w:w="1385" w:type="dxa"/>
          </w:tcPr>
          <w:p w14:paraId="1AAA5520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[188]</w:t>
            </w:r>
          </w:p>
        </w:tc>
      </w:tr>
      <w:tr w:rsidR="00741409" w14:paraId="1140BB4F" w14:textId="77777777">
        <w:tc>
          <w:tcPr>
            <w:tcW w:w="1619" w:type="dxa"/>
          </w:tcPr>
          <w:p w14:paraId="292D444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Gedunin</w:t>
            </w:r>
            <w:proofErr w:type="spellEnd"/>
          </w:p>
        </w:tc>
        <w:tc>
          <w:tcPr>
            <w:tcW w:w="1211" w:type="dxa"/>
          </w:tcPr>
          <w:p w14:paraId="48A1C251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AR</w:t>
            </w:r>
          </w:p>
        </w:tc>
        <w:tc>
          <w:tcPr>
            <w:tcW w:w="9651" w:type="dxa"/>
          </w:tcPr>
          <w:p w14:paraId="00A88BCD" w14:textId="326954AB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 xml:space="preserve">Prevents proliferation, apoptosis evasion, angiogenesis, and invasion, by abrogation of 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PI3K/Akt, </w:t>
            </w:r>
            <w:r w:rsidRP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NF-</w:t>
            </w:r>
            <w:r w:rsidR="000155FF">
              <w:rPr>
                <w:rFonts w:ascii="Minion pro" w:hAnsi="Minion pro" w:cs="PMingLiU" w:hint="eastAsia"/>
                <w:bCs/>
                <w:color w:val="000000"/>
                <w:sz w:val="20"/>
                <w:szCs w:val="20"/>
                <w:lang w:eastAsia="zh-CN"/>
              </w:rPr>
              <w:t>k</w:t>
            </w:r>
            <w:r w:rsidRP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B, VEGF </w:t>
            </w:r>
            <w:proofErr w:type="spellStart"/>
            <w:r w:rsidRP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signaling</w:t>
            </w:r>
            <w:proofErr w:type="spellEnd"/>
            <w:r w:rsidRP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, and downregulation of miR-21 in oral cancer cells and hamster oral </w:t>
            </w:r>
            <w:proofErr w:type="spellStart"/>
            <w:r w:rsidRPr="004A7FA5"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tumors</w:t>
            </w:r>
            <w:proofErr w:type="spellEnd"/>
          </w:p>
        </w:tc>
        <w:tc>
          <w:tcPr>
            <w:tcW w:w="1385" w:type="dxa"/>
          </w:tcPr>
          <w:p w14:paraId="5D07D9F0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[197,198]</w:t>
            </w:r>
          </w:p>
        </w:tc>
      </w:tr>
      <w:tr w:rsidR="00741409" w14:paraId="14077207" w14:textId="77777777">
        <w:tc>
          <w:tcPr>
            <w:tcW w:w="1619" w:type="dxa"/>
          </w:tcPr>
          <w:p w14:paraId="7B5E92F2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Nimbolide</w:t>
            </w:r>
            <w:proofErr w:type="spellEnd"/>
          </w:p>
        </w:tc>
        <w:tc>
          <w:tcPr>
            <w:tcW w:w="1211" w:type="dxa"/>
          </w:tcPr>
          <w:p w14:paraId="76385887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AR</w:t>
            </w:r>
          </w:p>
        </w:tc>
        <w:tc>
          <w:tcPr>
            <w:tcW w:w="9651" w:type="dxa"/>
          </w:tcPr>
          <w:p w14:paraId="6AA934BE" w14:textId="77777777" w:rsidR="00741409" w:rsidRDefault="000000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 xml:space="preserve">Inhibits angiogenesis in breast cancer cells and xenografted nude mouse model by abrogation of </w:t>
            </w: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 xml:space="preserve">IGF-1/PI3K/Akt and VEGF </w:t>
            </w:r>
            <w:proofErr w:type="spellStart"/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eastAsia="en-IN"/>
              </w:rPr>
              <w:t>signaling</w:t>
            </w:r>
            <w:proofErr w:type="spellEnd"/>
          </w:p>
        </w:tc>
        <w:tc>
          <w:tcPr>
            <w:tcW w:w="1385" w:type="dxa"/>
          </w:tcPr>
          <w:p w14:paraId="7859470B" w14:textId="77777777" w:rsidR="00741409" w:rsidRDefault="00000000">
            <w:pPr>
              <w:widowControl w:val="0"/>
              <w:autoSpaceDE w:val="0"/>
              <w:autoSpaceDN w:val="0"/>
              <w:spacing w:after="0" w:line="240" w:lineRule="auto"/>
              <w:ind w:left="103"/>
              <w:jc w:val="both"/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</w:pPr>
            <w:r>
              <w:rPr>
                <w:rFonts w:ascii="Minion pro" w:eastAsia="PMingLiU" w:hAnsi="Minion pro" w:cs="PMingLiU"/>
                <w:bCs/>
                <w:color w:val="000000"/>
                <w:sz w:val="20"/>
                <w:szCs w:val="20"/>
                <w:lang w:val="en-US" w:eastAsia="en-IN"/>
              </w:rPr>
              <w:t>[199]</w:t>
            </w:r>
          </w:p>
        </w:tc>
      </w:tr>
    </w:tbl>
    <w:p w14:paraId="7CAE21EC" w14:textId="77777777" w:rsidR="00741409" w:rsidRDefault="00741409">
      <w:pPr>
        <w:widowControl w:val="0"/>
        <w:autoSpaceDE w:val="0"/>
        <w:autoSpaceDN w:val="0"/>
        <w:spacing w:after="0" w:line="240" w:lineRule="auto"/>
        <w:ind w:left="103"/>
        <w:jc w:val="both"/>
        <w:rPr>
          <w:rFonts w:ascii="Minion pro" w:eastAsia="PMingLiU" w:hAnsi="Minion pro" w:cs="PMingLiU"/>
          <w:bCs/>
          <w:color w:val="000000"/>
          <w:sz w:val="20"/>
          <w:szCs w:val="20"/>
        </w:rPr>
      </w:pPr>
    </w:p>
    <w:p w14:paraId="3F586175" w14:textId="77777777" w:rsidR="00741409" w:rsidRDefault="00741409"/>
    <w:sectPr w:rsidR="00741409">
      <w:pgSz w:w="16840" w:h="11910" w:orient="landscape"/>
      <w:pgMar w:top="740" w:right="280" w:bottom="860" w:left="760" w:header="720" w:footer="720" w:gutter="0"/>
      <w:cols w:space="13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352DC" w14:textId="77777777" w:rsidR="00B83CA4" w:rsidRDefault="00B83CA4">
      <w:pPr>
        <w:spacing w:line="240" w:lineRule="auto"/>
      </w:pPr>
      <w:r>
        <w:separator/>
      </w:r>
    </w:p>
  </w:endnote>
  <w:endnote w:type="continuationSeparator" w:id="0">
    <w:p w14:paraId="2CAFF839" w14:textId="77777777" w:rsidR="00B83CA4" w:rsidRDefault="00B83C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508AD" w14:textId="77777777" w:rsidR="00B83CA4" w:rsidRDefault="00B83CA4">
      <w:pPr>
        <w:spacing w:after="0"/>
      </w:pPr>
      <w:r>
        <w:separator/>
      </w:r>
    </w:p>
  </w:footnote>
  <w:footnote w:type="continuationSeparator" w:id="0">
    <w:p w14:paraId="0BA31BDC" w14:textId="77777777" w:rsidR="00B83CA4" w:rsidRDefault="00B83C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600B0"/>
    <w:multiLevelType w:val="multilevel"/>
    <w:tmpl w:val="192600B0"/>
    <w:lvl w:ilvl="0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30335966"/>
    <w:multiLevelType w:val="multilevel"/>
    <w:tmpl w:val="303359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83E03"/>
    <w:multiLevelType w:val="multilevel"/>
    <w:tmpl w:val="62D83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426049">
    <w:abstractNumId w:val="0"/>
  </w:num>
  <w:num w:numId="2" w16cid:durableId="1515462897">
    <w:abstractNumId w:val="1"/>
  </w:num>
  <w:num w:numId="3" w16cid:durableId="1333220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362923"/>
    <w:rsid w:val="000155FF"/>
    <w:rsid w:val="002803F0"/>
    <w:rsid w:val="002E193B"/>
    <w:rsid w:val="003044E1"/>
    <w:rsid w:val="00362923"/>
    <w:rsid w:val="003A328C"/>
    <w:rsid w:val="00425AC3"/>
    <w:rsid w:val="004A7FA5"/>
    <w:rsid w:val="005B36B7"/>
    <w:rsid w:val="006211DF"/>
    <w:rsid w:val="006F3509"/>
    <w:rsid w:val="00741007"/>
    <w:rsid w:val="00741409"/>
    <w:rsid w:val="00772A17"/>
    <w:rsid w:val="009A2CF6"/>
    <w:rsid w:val="00A41A72"/>
    <w:rsid w:val="00B83CA4"/>
    <w:rsid w:val="00C43ADB"/>
    <w:rsid w:val="00CB5558"/>
    <w:rsid w:val="00D0635E"/>
    <w:rsid w:val="00E864B5"/>
    <w:rsid w:val="00FD6C30"/>
    <w:rsid w:val="5F05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51F38A"/>
  <w15:docId w15:val="{733BF59D-16FE-4A26-84F9-C04EB1287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I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annotation subject"/>
    <w:basedOn w:val="a3"/>
    <w:next w:val="a3"/>
    <w:link w:val="a6"/>
    <w:autoRedefine/>
    <w:uiPriority w:val="99"/>
    <w:semiHidden/>
    <w:unhideWhenUsed/>
    <w:qFormat/>
    <w:rPr>
      <w:b/>
      <w:bCs/>
    </w:rPr>
  </w:style>
  <w:style w:type="table" w:styleId="a7">
    <w:name w:val="Table Grid"/>
    <w:basedOn w:val="a1"/>
    <w:autoRedefine/>
    <w:uiPriority w:val="39"/>
    <w:qFormat/>
    <w:rPr>
      <w:rFonts w:ascii="Times New Roman" w:eastAsia="宋体" w:hAnsi="Times New Roman" w:cs="Times New Roman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</w:style>
  <w:style w:type="character" w:customStyle="1" w:styleId="a6">
    <w:name w:val="批注主题 字符"/>
    <w:basedOn w:val="a4"/>
    <w:link w:val="a5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26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2742</Characters>
  <Application>Microsoft Office Word</Application>
  <DocSecurity>0</DocSecurity>
  <Lines>169</Lines>
  <Paragraphs>96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Zephyrine Zhang</cp:lastModifiedBy>
  <cp:revision>11</cp:revision>
  <dcterms:created xsi:type="dcterms:W3CDTF">2024-05-07T04:25:00Z</dcterms:created>
  <dcterms:modified xsi:type="dcterms:W3CDTF">2024-05-07T06:57:00Z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283b11177a082980308430e1b1e8e67af1df98efc4ef1292508e98a9bae470c6</vt:lpwstr>
  </property>
  <property fmtid="{D5CDD505-2E9C-101B-9397-08002B2CF9AE}" pid="3" name="KSOProductBuildVer">
    <vt:lpwstr>2052-12.1.0.16729</vt:lpwstr>
  </property>
  <property fmtid="{D5CDD505-2E9C-101B-9397-08002B2CF9AE}" pid="4" name="ICV">
    <vt:lpwstr>BCDCF65E4E1945E9A027D3E3EC3F33C1_12</vt:lpwstr>
  </property>
</Properties>
</file>